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46C91" w14:textId="1D1826C6" w:rsidR="00F07E99" w:rsidRPr="00F07E99" w:rsidRDefault="00F07E99" w:rsidP="00F07E99">
      <w:pPr>
        <w:pStyle w:val="Odstavecseseznamem"/>
        <w:keepNext/>
        <w:keepLines/>
        <w:numPr>
          <w:ilvl w:val="0"/>
          <w:numId w:val="4"/>
        </w:numPr>
        <w:pBdr>
          <w:bottom w:val="single" w:sz="4" w:space="2" w:color="4472C4"/>
        </w:pBdr>
        <w:spacing w:after="0" w:line="240" w:lineRule="auto"/>
        <w:outlineLvl w:val="0"/>
        <w:rPr>
          <w:rFonts w:ascii="Calibri Light" w:eastAsia="Times New Roman" w:hAnsi="Calibri Light" w:cs="Arial"/>
          <w:b/>
          <w:bCs/>
          <w:iCs/>
          <w:color w:val="0070C0"/>
          <w:sz w:val="24"/>
          <w:szCs w:val="24"/>
        </w:rPr>
      </w:pPr>
      <w:r w:rsidRPr="00F07E99">
        <w:rPr>
          <w:rFonts w:ascii="Calibri" w:eastAsia="Times New Roman" w:hAnsi="Calibri" w:cs="Arial"/>
          <w:b/>
          <w:bCs/>
          <w:iCs/>
          <w:color w:val="0070C0"/>
          <w:sz w:val="24"/>
          <w:szCs w:val="24"/>
        </w:rPr>
        <w:t>Předmět plnění veřejné zakázky</w:t>
      </w:r>
    </w:p>
    <w:p w14:paraId="7765AB33" w14:textId="77777777" w:rsidR="00F07E99" w:rsidRPr="00F07E99" w:rsidRDefault="00F07E99" w:rsidP="00F07E99">
      <w:pPr>
        <w:spacing w:after="0" w:line="240" w:lineRule="auto"/>
        <w:ind w:left="1418" w:hanging="2"/>
        <w:jc w:val="both"/>
        <w:rPr>
          <w:rFonts w:ascii="Calibri" w:eastAsia="Times New Roman" w:hAnsi="Calibri" w:cs="60knyzlrxprfekn"/>
        </w:rPr>
      </w:pPr>
    </w:p>
    <w:p w14:paraId="1265AA08" w14:textId="33884212" w:rsidR="00F07E99" w:rsidRPr="00F07E99" w:rsidRDefault="00F07E99" w:rsidP="00F07E99">
      <w:pPr>
        <w:pStyle w:val="Odstavecseseznamem"/>
        <w:keepNext/>
        <w:keepLines/>
        <w:numPr>
          <w:ilvl w:val="1"/>
          <w:numId w:val="4"/>
        </w:numPr>
        <w:spacing w:after="0" w:line="240" w:lineRule="auto"/>
        <w:outlineLvl w:val="0"/>
        <w:rPr>
          <w:rFonts w:ascii="Calibri" w:eastAsia="Times New Roman" w:hAnsi="Calibri" w:cs="Arial"/>
          <w:color w:val="0070C0"/>
        </w:rPr>
      </w:pPr>
      <w:r w:rsidRPr="00F07E99">
        <w:rPr>
          <w:rFonts w:ascii="Calibri" w:eastAsia="Times New Roman" w:hAnsi="Calibri" w:cs="Arial"/>
          <w:color w:val="0070C0"/>
        </w:rPr>
        <w:t xml:space="preserve">Popis předmětu plnění veřejné zakázky </w:t>
      </w:r>
    </w:p>
    <w:p w14:paraId="6138BAF6" w14:textId="77777777" w:rsidR="00F07E99" w:rsidRPr="00F07E99" w:rsidRDefault="00F07E99" w:rsidP="00F07E99">
      <w:pPr>
        <w:spacing w:after="0" w:line="240" w:lineRule="auto"/>
        <w:ind w:left="426"/>
        <w:contextualSpacing/>
        <w:jc w:val="both"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 xml:space="preserve">Předmětem plnění veřejné zakázky je zajištění externího hodnocení kvality dále „EHK“ v oblasti laboratorní medicíny pro zdravotnické laboratoře zadavatele, jak tuto činnost definuje norma ČSN EN ISO/IEC 17043 - Posuzování shody - Všeobecné požadavky na zkoušení způsobilosti. Jedná se o hodnocení výkonnosti zdravotnických laboratoří zadavatele vůči předem stanoveným kritériím pomocí mezilaboratorních porovnání, tj. hodnocení kvality výsledků laboratorních zkoušek z hlediska jejich přesnosti (tj. preciznosti a pravdivosti). Předmět plnění této veřejné zakázky bude vybraným dodavatelem zadávacího řízení realizován v souladu se smlouvou, kterou předloží ve své nabídce tento dodavatel v souladu s podmínkami stanovenými v této zadávací dokumentaci.   </w:t>
      </w:r>
    </w:p>
    <w:p w14:paraId="58696933" w14:textId="77777777" w:rsidR="00F07E99" w:rsidRPr="00F07E99" w:rsidRDefault="00F07E99" w:rsidP="00F07E99">
      <w:pPr>
        <w:spacing w:after="0" w:line="240" w:lineRule="auto"/>
        <w:ind w:left="426"/>
        <w:jc w:val="both"/>
        <w:rPr>
          <w:rFonts w:ascii="Calibri" w:eastAsia="Times New Roman" w:hAnsi="Calibri" w:cs="Arial"/>
          <w:bCs/>
          <w:iCs/>
        </w:rPr>
      </w:pPr>
      <w:r w:rsidRPr="00F07E99">
        <w:rPr>
          <w:rFonts w:ascii="Calibri" w:eastAsia="Times New Roman" w:hAnsi="Calibri" w:cs="Arial"/>
          <w:bCs/>
          <w:iCs/>
        </w:rPr>
        <w:t xml:space="preserve">S </w:t>
      </w:r>
      <w:r w:rsidRPr="00F07E99">
        <w:rPr>
          <w:rFonts w:ascii="Calibri" w:eastAsia="Times New Roman" w:hAnsi="Calibri" w:cs="Times New Roman"/>
        </w:rPr>
        <w:t>vybraným</w:t>
      </w:r>
      <w:r w:rsidRPr="00F07E99">
        <w:rPr>
          <w:rFonts w:ascii="Calibri" w:eastAsia="Times New Roman" w:hAnsi="Calibri" w:cs="Arial"/>
          <w:bCs/>
          <w:iCs/>
        </w:rPr>
        <w:t xml:space="preserve"> dodavatelem bude uzavřena smlouva </w:t>
      </w:r>
      <w:r w:rsidRPr="00F07E99">
        <w:rPr>
          <w:rFonts w:ascii="Calibri" w:eastAsia="Times New Roman" w:hAnsi="Calibri" w:cs="Arial"/>
          <w:b/>
          <w:bCs/>
          <w:iCs/>
        </w:rPr>
        <w:t>na dobu určitou 1 rok, a to na rok 2021</w:t>
      </w:r>
      <w:r w:rsidRPr="00F07E99">
        <w:rPr>
          <w:rFonts w:ascii="Calibri" w:eastAsia="Times New Roman" w:hAnsi="Calibri" w:cs="Arial"/>
          <w:bCs/>
          <w:iCs/>
        </w:rPr>
        <w:t xml:space="preserve">. </w:t>
      </w:r>
    </w:p>
    <w:p w14:paraId="5EF5B0B4" w14:textId="77777777" w:rsidR="00F07E99" w:rsidRPr="00F07E99" w:rsidRDefault="00F07E99" w:rsidP="00F07E99">
      <w:pPr>
        <w:spacing w:after="0" w:line="240" w:lineRule="auto"/>
        <w:ind w:left="426"/>
        <w:contextualSpacing/>
        <w:jc w:val="both"/>
        <w:rPr>
          <w:rFonts w:ascii="Calibri" w:eastAsia="Times New Roman" w:hAnsi="Calibri" w:cs="Times New Roman"/>
        </w:rPr>
      </w:pPr>
    </w:p>
    <w:p w14:paraId="1288C7CE" w14:textId="77777777" w:rsidR="00F07E99" w:rsidRPr="00F07E99" w:rsidRDefault="00F07E99" w:rsidP="00F07E99">
      <w:pPr>
        <w:spacing w:after="0" w:line="240" w:lineRule="auto"/>
        <w:ind w:left="426"/>
        <w:contextualSpacing/>
        <w:jc w:val="both"/>
        <w:rPr>
          <w:rFonts w:ascii="Calibri" w:eastAsia="Times New Roman" w:hAnsi="Calibri" w:cs="Times New Roman"/>
        </w:rPr>
      </w:pPr>
    </w:p>
    <w:p w14:paraId="2465D838" w14:textId="1B11DCA6" w:rsidR="00F07E99" w:rsidRPr="00F07E99" w:rsidRDefault="00F07E99" w:rsidP="00F07E99">
      <w:pPr>
        <w:keepNext/>
        <w:keepLines/>
        <w:spacing w:after="0" w:line="240" w:lineRule="auto"/>
        <w:ind w:left="720"/>
        <w:outlineLvl w:val="0"/>
        <w:rPr>
          <w:rFonts w:ascii="Calibri Light" w:eastAsia="Times New Roman" w:hAnsi="Calibri Light" w:cs="Times New Roman"/>
          <w:color w:val="262626"/>
        </w:rPr>
      </w:pPr>
      <w:r>
        <w:rPr>
          <w:rFonts w:ascii="Calibri" w:eastAsia="Times New Roman" w:hAnsi="Calibri" w:cs="Arial"/>
          <w:color w:val="0070C0"/>
        </w:rPr>
        <w:t>3.1.1</w:t>
      </w:r>
      <w:r w:rsidRPr="00F07E99">
        <w:rPr>
          <w:rFonts w:ascii="Calibri" w:eastAsia="Times New Roman" w:hAnsi="Calibri" w:cs="Arial"/>
          <w:color w:val="0070C0"/>
        </w:rPr>
        <w:t xml:space="preserve"> Pracoviště společnosti Nemocnice Pardubického kraje, a.s., pro které má být zajištěno EHK </w:t>
      </w:r>
      <w:r w:rsidRPr="00F07E99">
        <w:rPr>
          <w:rFonts w:ascii="Calibri Light" w:eastAsia="Times New Roman" w:hAnsi="Calibri Light" w:cs="Times New Roman"/>
          <w:color w:val="262626"/>
        </w:rPr>
        <w:t xml:space="preserve"> </w:t>
      </w:r>
    </w:p>
    <w:p w14:paraId="7224A087" w14:textId="77777777" w:rsidR="00F07E99" w:rsidRPr="00F07E99" w:rsidRDefault="00F07E99" w:rsidP="00F07E99">
      <w:pPr>
        <w:numPr>
          <w:ilvl w:val="0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Pardubická nemocnice:</w:t>
      </w:r>
    </w:p>
    <w:p w14:paraId="022F4020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Transfuzní oddělení</w:t>
      </w:r>
    </w:p>
    <w:p w14:paraId="69BBC072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bookmarkStart w:id="0" w:name="_Hlk54353239"/>
      <w:r w:rsidRPr="00F07E99">
        <w:rPr>
          <w:rFonts w:ascii="Calibri" w:eastAsia="Times New Roman" w:hAnsi="Calibri" w:cs="Times New Roman"/>
        </w:rPr>
        <w:t>Oddělení klinické biochemie a diagnostiky</w:t>
      </w:r>
    </w:p>
    <w:bookmarkEnd w:id="0"/>
    <w:p w14:paraId="62D2D7CA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Oddělení klinické hematologie</w:t>
      </w:r>
    </w:p>
    <w:p w14:paraId="4DAD5353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Patologicko-anatomické oddělení</w:t>
      </w:r>
    </w:p>
    <w:p w14:paraId="0D62630F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Kardiologie</w:t>
      </w:r>
    </w:p>
    <w:p w14:paraId="127EEA01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Lékařská pohotovostní služba pro děti a dorost</w:t>
      </w:r>
    </w:p>
    <w:p w14:paraId="29E3DAA4" w14:textId="77777777" w:rsidR="00F07E99" w:rsidRPr="00F07E99" w:rsidRDefault="00F07E99" w:rsidP="00F07E99">
      <w:pPr>
        <w:spacing w:line="276" w:lineRule="auto"/>
        <w:ind w:left="1800"/>
        <w:contextualSpacing/>
        <w:rPr>
          <w:rFonts w:ascii="Calibri" w:eastAsia="Times New Roman" w:hAnsi="Calibri" w:cs="Times New Roman"/>
        </w:rPr>
      </w:pPr>
    </w:p>
    <w:p w14:paraId="25479AD9" w14:textId="77777777" w:rsidR="00F07E99" w:rsidRPr="00F07E99" w:rsidRDefault="00F07E99" w:rsidP="00F07E99">
      <w:pPr>
        <w:numPr>
          <w:ilvl w:val="0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Chrudimská nemocnice:</w:t>
      </w:r>
    </w:p>
    <w:p w14:paraId="470C456F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Patologicko-anatomické oddělení</w:t>
      </w:r>
    </w:p>
    <w:p w14:paraId="3CD07B8E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Oddělení klinické biochemie</w:t>
      </w:r>
    </w:p>
    <w:p w14:paraId="2520D453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 xml:space="preserve">Hematologicko </w:t>
      </w:r>
      <w:proofErr w:type="spellStart"/>
      <w:r w:rsidRPr="00F07E99">
        <w:rPr>
          <w:rFonts w:ascii="Calibri" w:eastAsia="Times New Roman" w:hAnsi="Calibri" w:cs="Times New Roman"/>
        </w:rPr>
        <w:t>tranfuzní</w:t>
      </w:r>
      <w:proofErr w:type="spellEnd"/>
      <w:r w:rsidRPr="00F07E99">
        <w:rPr>
          <w:rFonts w:ascii="Calibri" w:eastAsia="Times New Roman" w:hAnsi="Calibri" w:cs="Times New Roman"/>
        </w:rPr>
        <w:t xml:space="preserve"> oddělení</w:t>
      </w:r>
    </w:p>
    <w:p w14:paraId="777E308B" w14:textId="77777777" w:rsidR="00F07E99" w:rsidRPr="00F07E99" w:rsidRDefault="00F07E99" w:rsidP="00F07E99">
      <w:pPr>
        <w:spacing w:line="276" w:lineRule="auto"/>
        <w:ind w:left="1800"/>
        <w:contextualSpacing/>
        <w:rPr>
          <w:rFonts w:ascii="Calibri" w:eastAsia="Times New Roman" w:hAnsi="Calibri" w:cs="Times New Roman"/>
        </w:rPr>
      </w:pPr>
    </w:p>
    <w:p w14:paraId="3F192DC5" w14:textId="77777777" w:rsidR="00F07E99" w:rsidRPr="00F07E99" w:rsidRDefault="00F07E99" w:rsidP="00F07E99">
      <w:pPr>
        <w:numPr>
          <w:ilvl w:val="0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Svitavská nemocnice:</w:t>
      </w:r>
    </w:p>
    <w:p w14:paraId="43FDC059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bookmarkStart w:id="1" w:name="_Hlk54353071"/>
      <w:r w:rsidRPr="00F07E99">
        <w:rPr>
          <w:rFonts w:ascii="Calibri" w:eastAsia="Times New Roman" w:hAnsi="Calibri" w:cs="Times New Roman"/>
        </w:rPr>
        <w:t>Oddělení klinické biochemie</w:t>
      </w:r>
    </w:p>
    <w:bookmarkEnd w:id="1"/>
    <w:p w14:paraId="78C8F1BE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 xml:space="preserve">Hematologicko </w:t>
      </w:r>
      <w:proofErr w:type="spellStart"/>
      <w:r w:rsidRPr="00F07E99">
        <w:rPr>
          <w:rFonts w:ascii="Calibri" w:eastAsia="Times New Roman" w:hAnsi="Calibri" w:cs="Times New Roman"/>
        </w:rPr>
        <w:t>tranfuzní</w:t>
      </w:r>
      <w:proofErr w:type="spellEnd"/>
      <w:r w:rsidRPr="00F07E99">
        <w:rPr>
          <w:rFonts w:ascii="Calibri" w:eastAsia="Times New Roman" w:hAnsi="Calibri" w:cs="Times New Roman"/>
        </w:rPr>
        <w:t xml:space="preserve"> oddělení</w:t>
      </w:r>
    </w:p>
    <w:p w14:paraId="4FEEF6F1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Patologicko-anatomické oddělení</w:t>
      </w:r>
    </w:p>
    <w:p w14:paraId="1D844B34" w14:textId="77777777" w:rsidR="00F07E99" w:rsidRPr="00F07E99" w:rsidRDefault="00F07E99" w:rsidP="00F07E99">
      <w:pPr>
        <w:spacing w:line="276" w:lineRule="auto"/>
        <w:ind w:left="1800"/>
        <w:contextualSpacing/>
        <w:rPr>
          <w:rFonts w:ascii="Calibri" w:eastAsia="Times New Roman" w:hAnsi="Calibri" w:cs="Times New Roman"/>
        </w:rPr>
      </w:pPr>
    </w:p>
    <w:p w14:paraId="7745C096" w14:textId="77777777" w:rsidR="00F07E99" w:rsidRPr="00F07E99" w:rsidRDefault="00F07E99" w:rsidP="00F07E99">
      <w:pPr>
        <w:numPr>
          <w:ilvl w:val="0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Litomyšlská nemocnice:</w:t>
      </w:r>
    </w:p>
    <w:p w14:paraId="49FA2B42" w14:textId="77777777" w:rsidR="00F07E99" w:rsidRPr="00F07E99" w:rsidRDefault="00F07E99" w:rsidP="00F07E99">
      <w:pPr>
        <w:spacing w:line="276" w:lineRule="auto"/>
        <w:ind w:left="1800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Oddělení klinické biochemie</w:t>
      </w:r>
    </w:p>
    <w:p w14:paraId="1D5A6B0E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 xml:space="preserve">Hematologicko </w:t>
      </w:r>
      <w:proofErr w:type="spellStart"/>
      <w:r w:rsidRPr="00F07E99">
        <w:rPr>
          <w:rFonts w:ascii="Calibri" w:eastAsia="Times New Roman" w:hAnsi="Calibri" w:cs="Times New Roman"/>
        </w:rPr>
        <w:t>tranfuzní</w:t>
      </w:r>
      <w:proofErr w:type="spellEnd"/>
      <w:r w:rsidRPr="00F07E99">
        <w:rPr>
          <w:rFonts w:ascii="Calibri" w:eastAsia="Times New Roman" w:hAnsi="Calibri" w:cs="Times New Roman"/>
        </w:rPr>
        <w:t xml:space="preserve"> oddělení</w:t>
      </w:r>
    </w:p>
    <w:p w14:paraId="30C9B707" w14:textId="77777777" w:rsidR="00F07E99" w:rsidRPr="00F07E99" w:rsidRDefault="00F07E99" w:rsidP="00F07E99">
      <w:pPr>
        <w:spacing w:line="276" w:lineRule="auto"/>
        <w:ind w:left="1800"/>
        <w:contextualSpacing/>
        <w:rPr>
          <w:rFonts w:ascii="Calibri" w:eastAsia="Times New Roman" w:hAnsi="Calibri" w:cs="Times New Roman"/>
        </w:rPr>
      </w:pPr>
    </w:p>
    <w:p w14:paraId="457F5133" w14:textId="77777777" w:rsidR="00F07E99" w:rsidRPr="00F07E99" w:rsidRDefault="00F07E99" w:rsidP="00F07E99">
      <w:pPr>
        <w:numPr>
          <w:ilvl w:val="0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Orlickoústecká nemocnice:</w:t>
      </w:r>
    </w:p>
    <w:p w14:paraId="405ADA35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>Oddělení klinické biochemie a diagnostiky</w:t>
      </w:r>
      <w:bookmarkStart w:id="2" w:name="_Hlk54352884"/>
    </w:p>
    <w:p w14:paraId="7872046F" w14:textId="77777777" w:rsidR="00F07E99" w:rsidRPr="00F07E99" w:rsidRDefault="00F07E99" w:rsidP="00F07E99">
      <w:pPr>
        <w:numPr>
          <w:ilvl w:val="1"/>
          <w:numId w:val="2"/>
        </w:numPr>
        <w:spacing w:line="276" w:lineRule="auto"/>
        <w:contextualSpacing/>
        <w:rPr>
          <w:rFonts w:ascii="Calibri" w:eastAsia="Times New Roman" w:hAnsi="Calibri" w:cs="Times New Roman"/>
        </w:rPr>
      </w:pPr>
      <w:r w:rsidRPr="00F07E99">
        <w:rPr>
          <w:rFonts w:ascii="Calibri" w:eastAsia="Times New Roman" w:hAnsi="Calibri" w:cs="Times New Roman"/>
        </w:rPr>
        <w:t xml:space="preserve">Hematologicko </w:t>
      </w:r>
      <w:proofErr w:type="spellStart"/>
      <w:r w:rsidRPr="00F07E99">
        <w:rPr>
          <w:rFonts w:ascii="Calibri" w:eastAsia="Times New Roman" w:hAnsi="Calibri" w:cs="Times New Roman"/>
        </w:rPr>
        <w:t>tranfuzní</w:t>
      </w:r>
      <w:proofErr w:type="spellEnd"/>
      <w:r w:rsidRPr="00F07E99">
        <w:rPr>
          <w:rFonts w:ascii="Calibri" w:eastAsia="Times New Roman" w:hAnsi="Calibri" w:cs="Times New Roman"/>
        </w:rPr>
        <w:t xml:space="preserve"> oddělení</w:t>
      </w:r>
    </w:p>
    <w:bookmarkEnd w:id="2"/>
    <w:p w14:paraId="492106B7" w14:textId="07947B9C" w:rsidR="00F07E99" w:rsidRPr="00F07E99" w:rsidRDefault="00F07E99" w:rsidP="00F07E9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outlineLvl w:val="0"/>
        <w:rPr>
          <w:rFonts w:ascii="Calibri Light" w:eastAsia="Times New Roman" w:hAnsi="Calibri Light" w:cs="Times New Roman"/>
          <w:color w:val="262626"/>
        </w:rPr>
      </w:pPr>
      <w:r w:rsidRPr="00F07E99">
        <w:rPr>
          <w:rFonts w:ascii="Calibri" w:eastAsia="Times New Roman" w:hAnsi="Calibri" w:cs="Arial"/>
          <w:color w:val="0070C0"/>
        </w:rPr>
        <w:t xml:space="preserve">Seznam poptávaných programů EHK a předpokládaný počet cyklů, sad vzorků a vyhodnocení navíc  </w:t>
      </w:r>
      <w:r w:rsidRPr="00F07E99">
        <w:rPr>
          <w:rFonts w:ascii="Calibri Light" w:eastAsia="Times New Roman" w:hAnsi="Calibri Light" w:cs="Times New Roman"/>
          <w:color w:val="262626"/>
        </w:rPr>
        <w:t xml:space="preserve"> </w:t>
      </w:r>
    </w:p>
    <w:p w14:paraId="130B8601" w14:textId="77777777" w:rsidR="00F07E99" w:rsidRPr="00F07E99" w:rsidRDefault="00F07E99" w:rsidP="00F07E99">
      <w:pPr>
        <w:spacing w:after="0" w:line="240" w:lineRule="auto"/>
        <w:ind w:left="426"/>
        <w:contextualSpacing/>
        <w:jc w:val="both"/>
        <w:rPr>
          <w:rFonts w:ascii="Calibri" w:eastAsia="Times New Roman" w:hAnsi="Calibri" w:cs="Times New Roman"/>
          <w:sz w:val="12"/>
        </w:rPr>
      </w:pPr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993"/>
        <w:gridCol w:w="1842"/>
        <w:gridCol w:w="1985"/>
      </w:tblGrid>
      <w:tr w:rsidR="00F07E99" w:rsidRPr="00F07E99" w14:paraId="08648AD8" w14:textId="77777777" w:rsidTr="00F07E99">
        <w:trPr>
          <w:trHeight w:val="873"/>
          <w:tblHeader/>
        </w:trPr>
        <w:tc>
          <w:tcPr>
            <w:tcW w:w="4677" w:type="dxa"/>
            <w:shd w:val="clear" w:color="auto" w:fill="FFE599"/>
            <w:vAlign w:val="center"/>
            <w:hideMark/>
          </w:tcPr>
          <w:p w14:paraId="3C20A0F1" w14:textId="7777777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lastRenderedPageBreak/>
              <w:t>Program EHK</w:t>
            </w:r>
          </w:p>
        </w:tc>
        <w:tc>
          <w:tcPr>
            <w:tcW w:w="993" w:type="dxa"/>
            <w:shd w:val="clear" w:color="auto" w:fill="FFE599"/>
            <w:vAlign w:val="center"/>
            <w:hideMark/>
          </w:tcPr>
          <w:p w14:paraId="4ACB0974" w14:textId="7777777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>Počet sad vzorků</w:t>
            </w:r>
          </w:p>
        </w:tc>
        <w:tc>
          <w:tcPr>
            <w:tcW w:w="1842" w:type="dxa"/>
            <w:shd w:val="clear" w:color="auto" w:fill="FFE599"/>
            <w:vAlign w:val="center"/>
            <w:hideMark/>
          </w:tcPr>
          <w:p w14:paraId="6A36810D" w14:textId="7777777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>Počet vyhodnocení navíc</w:t>
            </w:r>
          </w:p>
        </w:tc>
        <w:tc>
          <w:tcPr>
            <w:tcW w:w="1985" w:type="dxa"/>
            <w:shd w:val="clear" w:color="auto" w:fill="FFE599"/>
            <w:vAlign w:val="center"/>
            <w:hideMark/>
          </w:tcPr>
          <w:p w14:paraId="4801CEBA" w14:textId="7777777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b/>
                <w:sz w:val="20"/>
                <w:szCs w:val="20"/>
                <w:lang w:eastAsia="cs-CZ"/>
              </w:rPr>
              <w:t xml:space="preserve">Počet cyklů </w:t>
            </w:r>
          </w:p>
        </w:tc>
      </w:tr>
      <w:tr w:rsidR="00F07E99" w:rsidRPr="00F07E99" w14:paraId="5DC8C3CA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42F28B5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Parametry acidobazické rovnováhy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0396FFB" w14:textId="466D7A2D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689F448" w14:textId="44F6AD91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56D50FC" w14:textId="0C94D68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1B3352AF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0BF9F7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Autoimunita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88173EA" w14:textId="550C7198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48A329" w14:textId="0191E50A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2A83CDA" w14:textId="70F4FCC4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148565A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AF7D519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Analyty krevního séra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0B6EB89" w14:textId="541540D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476BD3C" w14:textId="08DE52A5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A46982B" w14:textId="596EC091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6DC2FB91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F25A564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Stanovení albuminu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246E058" w14:textId="5EA3623D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41962D7" w14:textId="3AE42D1C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CF1A7E6" w14:textId="4E66053F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330DA4C8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C39E1C9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Analyty moče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397BC75" w14:textId="41B9F528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F257F49" w14:textId="41C1C546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C9108DC" w14:textId="3CFC9A8C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4B2CF4BA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D7763B9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Antitrombotické přípravky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8398C98" w14:textId="1A455DFF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2D37BA3" w14:textId="6E282304" w:rsidR="00F07E99" w:rsidRPr="00F07E99" w:rsidRDefault="00CB5D68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3ADC93" w14:textId="7233B5CF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3278E9D6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6B57131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Antifosfolipidové</w:t>
            </w:r>
            <w:proofErr w:type="spellEnd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 protilátky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9C434AD" w14:textId="7D7CE18C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259C74" w14:textId="45A59CCB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8EFCC2E" w14:textId="2CBF6580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62112674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3AF8A83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Autoprotilátky u </w:t>
            </w: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tyreopatií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061A046" w14:textId="4B321823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4E91B9" w14:textId="1957750C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D391617" w14:textId="3AE5B4D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134E92CC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6FD0F86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Bilirubin novorozenecký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5496A48" w14:textId="18E5DED8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C7F4DDC" w14:textId="0FE9D6E6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ADAB495" w14:textId="5BD4DB31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3B42F771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624758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Kostní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D57CD63" w14:textId="21C66D2F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C6F47AD" w14:textId="0EF32B0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1D834D" w14:textId="45A2BB2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79F524C6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31B750F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Cystatin</w:t>
            </w:r>
            <w:proofErr w:type="spellEnd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 C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F666D1C" w14:textId="75BF3505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74888A" w14:textId="36730623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CA6E6E9" w14:textId="54575C0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76A8F4DF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C90BF9B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Stanovení CRP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8138AED" w14:textId="5D513CED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C59C55" w14:textId="1DAEFDF4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80B5AD8" w14:textId="4361E585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78200E26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AC6F823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Stanovení CRP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E2A2A8F" w14:textId="63A2A7F8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AF939B" w14:textId="2C4B665C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4BE6B1C" w14:textId="109B2E49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2AE6DA42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0CBC71D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Biochemická analýza </w:t>
            </w: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4A24807" w14:textId="081930D8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B1F9A2" w14:textId="5351E709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6C26699" w14:textId="7212B90C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3AAE427D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54FD510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Cytologie </w:t>
            </w: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2ADC4C5" w14:textId="77CB04D6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F627A15" w14:textId="706F4585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FF23A2A" w14:textId="49738983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7071E44B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A39782C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Klinická analýza </w:t>
            </w: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likvoru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9C403C2" w14:textId="621D133F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D0DFCE" w14:textId="15A47B5B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B268966" w14:textId="428579F5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32DE4E7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C501412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D Dimery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71ED614" w14:textId="44D2AC8D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5076115" w14:textId="40549E64" w:rsidR="00F07E99" w:rsidRPr="00F07E99" w:rsidRDefault="007A44DC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  <w:bookmarkStart w:id="3" w:name="_GoBack"/>
            <w:bookmarkEnd w:id="3"/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72435B9" w14:textId="68C0AA77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4</w:t>
            </w:r>
          </w:p>
        </w:tc>
      </w:tr>
      <w:tr w:rsidR="00F07E99" w:rsidRPr="00F07E99" w14:paraId="548AE210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2B364EF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Analýza moče testovacími proužky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733F7B2" w14:textId="4B70A8EE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B23D74" w14:textId="4F856496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3EC8A84" w14:textId="71D9E725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4D258D71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F0F603E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Hodnocení nátěru periferní krve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BEC21F6" w14:textId="42587DA8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DFA285" w14:textId="4D631BA3" w:rsidR="00F07E99" w:rsidRPr="00F07E99" w:rsidRDefault="00CB5D68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A6AC572" w14:textId="57D97B7C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46BF6CB7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4AFF886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Screening drog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DDE09AA" w14:textId="1B6789EF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25A88F" w14:textId="323E4EF3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1C03BB6" w14:textId="6D2EAA0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1F2BF7D4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8BA79C8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CD transferin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DEBB35" w14:textId="75F10276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FC0BA04" w14:textId="5DED5C0B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AD1C85" w14:textId="6E235E81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3AA003B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4CF4DDD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Endokrinologie 1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EB0CEC" w14:textId="2989A404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75B9A78" w14:textId="07D5A0E2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041B42D" w14:textId="39F85B5C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051FCA65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BD7C820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Endokrinologie 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02554A8" w14:textId="30A09EC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2D937D" w14:textId="04AE5FDF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67FEFCF" w14:textId="206603D9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91210DB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FA43146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Etanol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9032731" w14:textId="46C5C3BE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0357B2" w14:textId="0688BCF5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04819C9" w14:textId="1CF88EBD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2CC2CE03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51D7D6C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Okultní krvácení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761663B" w14:textId="21BE57E5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E9BE901" w14:textId="2A3DD919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E46CA11" w14:textId="2BF3277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75DFD097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6608DB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Kontrola fotometrů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D6E8324" w14:textId="24A5A599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3A9BDCA" w14:textId="65B67B50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1E2D3B1" w14:textId="1E3EAE6E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167B3BE6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521FE7" w14:textId="7777777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Stanovení glukózy (včetně glukometrů)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9EB2D1" w14:textId="0282D6E3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3EC3DB" w14:textId="705831FE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8EC90C9" w14:textId="01CEA9E4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2B6CC1DD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0B5A7F8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Gamapatie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3F99E87" w14:textId="7F8660A6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A4354D2" w14:textId="275B9596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19C379" w14:textId="707A8560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2449DB03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6560B03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Histologické a cytologické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DF12FC2" w14:textId="0246360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8C1EBC3" w14:textId="0A8743F1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27E59DA" w14:textId="6136B33E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A28D11E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063BB43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Hemokoagulace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D13C385" w14:textId="09066D29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A40986A" w14:textId="5AA9630B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B23DED7" w14:textId="5E4FACD2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1E0573C3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AEB6534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Hormonální receptory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3967F03" w14:textId="7E11DFB6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939180" w14:textId="1A9FC33E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B419531" w14:textId="3D0597DD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67A242D9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236B629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Hemokoagulace speciální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7F73730" w14:textId="1F16E567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0CDC52" w14:textId="56967E68" w:rsidR="00F07E99" w:rsidRPr="00F07E99" w:rsidRDefault="00CB5D68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26CEBE3" w14:textId="44962EFC" w:rsidR="00F07E99" w:rsidRPr="00F07E99" w:rsidRDefault="00CB5D68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4D099B93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6EB7871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Imunopatologie GIT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2785953" w14:textId="6A923EE3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07898F" w14:textId="66B5E154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2352CF0" w14:textId="7BB4EB5A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0A1987C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4A22C93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Imunohematologie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C94C989" w14:textId="4C6B53D1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046735" w14:textId="2E2ACBBC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AF83F4F" w14:textId="359E12C9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2E14FB1C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2639E58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Měření INR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2BE72E2" w14:textId="6E320A46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F4A0491" w14:textId="7C51EE5B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59E1EEB" w14:textId="61CFCF56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4C107B06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5F21D90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Glykovaný hemoglobin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650696" w14:textId="71C7B31D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BA8A47" w14:textId="58CDFF4B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9577AD8" w14:textId="10C10AF4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4D72B33A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F4C64C1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Kardiální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0C21635" w14:textId="4DE0CB0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DABDC7" w14:textId="54DD6E64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2AF62EB" w14:textId="152F5BB2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2AF3C3BA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4529A9A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Krevní obraz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001DA51" w14:textId="0C4376E0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211D22" w14:textId="3B63D6C1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B6774AC" w14:textId="5094891A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656D9297" w14:textId="77777777" w:rsidTr="0064435B">
        <w:trPr>
          <w:trHeight w:val="300"/>
        </w:trPr>
        <w:tc>
          <w:tcPr>
            <w:tcW w:w="4677" w:type="dxa"/>
            <w:shd w:val="clear" w:color="000000" w:fill="FFFFFF"/>
            <w:vAlign w:val="center"/>
            <w:hideMark/>
          </w:tcPr>
          <w:p w14:paraId="64A876DB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Lupus </w:t>
            </w: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antikoagulans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DE4A9EB" w14:textId="0CC9A622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57679A" w14:textId="7EA4A13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C2E4083" w14:textId="6673AC44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0AA6D1D5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79DA31E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Verifikace linearity měření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5877DD5" w14:textId="69E06652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9F3163E" w14:textId="5736BC3D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DA91566" w14:textId="2EF7103D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1D2EEFFA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CCCA1E2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Nízkomolekulární heparin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16B3C36" w14:textId="6D5C8974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9F1A6AD" w14:textId="12120D45" w:rsidR="00F07E99" w:rsidRPr="00F07E99" w:rsidRDefault="00DA1D76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6942A7E" w14:textId="5993D9B8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291E7A62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CB9193F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Močový sediment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40A4E0B" w14:textId="6D80DC80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60D2C4" w14:textId="4B5741B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F8269B7" w14:textId="57B4BA2D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615C101D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149C078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lastRenderedPageBreak/>
              <w:t>Nátěr periferní krve -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5697E47" w14:textId="33C2199F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B1E5CF5" w14:textId="7900EE4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E103CF" w14:textId="0397FE3C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37FD07B4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3E3024D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Nátěr kostní dřeně -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6DC0EAD" w14:textId="2A83385A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2BE05B" w14:textId="7F52E760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54AF745" w14:textId="385DBE1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1D5B7D4A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1D64FA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Přímý antiglobulinový test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FB78377" w14:textId="181456E4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E3B525C" w14:textId="5F5623A5" w:rsidR="00F07E99" w:rsidRPr="00F07E99" w:rsidRDefault="00DA1D76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4D36877" w14:textId="06A26156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2FDE1A0E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9E2547A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Proteiny v krevním séru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ACFA8EE" w14:textId="5D5E7E50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909FC7" w14:textId="4EA2FA05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64E9606" w14:textId="57897038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7E96026E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69A5590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Retikulocyty na analyzátoru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9D16449" w14:textId="6CB2BAFF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100F873" w14:textId="45CB036E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  <w:r>
              <w:rPr>
                <w:rFonts w:ascii="Calibri" w:eastAsia="Times New Roman" w:hAnsi="Calibri" w:cs="Arial"/>
                <w:color w:val="000000"/>
                <w:lang w:eastAsia="cs-CZ"/>
              </w:rPr>
              <w:t>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D480288" w14:textId="25573E8B" w:rsidR="00F07E99" w:rsidRPr="00F07E99" w:rsidRDefault="00DA1D76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  <w:r>
              <w:rPr>
                <w:rFonts w:ascii="Calibri" w:eastAsia="Times New Roman" w:hAnsi="Calibri" w:cs="Arial"/>
                <w:color w:val="C00000"/>
                <w:lang w:eastAsia="cs-CZ"/>
              </w:rPr>
              <w:t>2</w:t>
            </w:r>
          </w:p>
        </w:tc>
      </w:tr>
      <w:tr w:rsidR="00F07E99" w:rsidRPr="00F07E99" w14:paraId="2E5D2B2D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BE82CDF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Retikulocyty mikroskopicky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50E4B0A" w14:textId="06FAF21E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061AB47" w14:textId="647C133D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DF4AB51" w14:textId="532C45BC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7948C113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74E34CA" w14:textId="7777777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Diagnostika revmatoidní artritidy a ASLO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E4C0240" w14:textId="7C268815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FF150F" w14:textId="4905BCBD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8D7C90D" w14:textId="64270C0A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C894232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723EF6F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Rizikové faktory aterosklerózy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8A56724" w14:textId="5098801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72A69F" w14:textId="37B5B2C8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6EF3BC" w14:textId="6D3F7D45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6395EA11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8BD5C45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Sedimentační rychlost erytrocytů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3899052" w14:textId="3966EBD0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F7257AE" w14:textId="3C6CEA5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09A8967" w14:textId="0576DF9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1BAB644C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9416A1E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Léky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D90AF81" w14:textId="65BD680F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2A9C0F5" w14:textId="66730616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5C295B" w14:textId="3C716D18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406DBF1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9338217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Stanovení stopových prvků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81274F5" w14:textId="4B69DD82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1DDB95" w14:textId="018E4E98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F7DB148" w14:textId="2E4E0122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4D6E45E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307CA7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Stanovení celkového </w:t>
            </w: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IgE</w:t>
            </w:r>
            <w:proofErr w:type="spellEnd"/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D2ACCD0" w14:textId="0AB0BDF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001F9A" w14:textId="02D3996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5C94132" w14:textId="37639839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43497DB3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303D5BF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Tumorové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52BD3EE" w14:textId="77A237C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D6E3F9C" w14:textId="437B98D0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98AF799" w14:textId="39747364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40FB5FAA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568230D" w14:textId="7777777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Všeobecná </w:t>
            </w:r>
            <w:proofErr w:type="spellStart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imunohistochemie</w:t>
            </w:r>
            <w:proofErr w:type="spellEnd"/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 xml:space="preserve"> -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15A08F" w14:textId="64DD4746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3BD6B16" w14:textId="0FC3C806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4C1FC5E" w14:textId="2542D3C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132BF98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691DB79" w14:textId="77777777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Diagnostika vrozených vývojových vad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49D54DA" w14:textId="1E9E4317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2CCE2E5" w14:textId="73FF2794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92951C5" w14:textId="18043202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  <w:tr w:rsidR="00F07E99" w:rsidRPr="00F07E99" w14:paraId="51E3C028" w14:textId="77777777" w:rsidTr="0064435B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2ECF992" w14:textId="77777777" w:rsidR="00F07E99" w:rsidRPr="00F07E99" w:rsidRDefault="00F07E99" w:rsidP="00F07E99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cs-CZ"/>
              </w:rPr>
            </w:pPr>
            <w:r w:rsidRPr="00F07E99">
              <w:rPr>
                <w:rFonts w:ascii="Calibri" w:eastAsia="Times New Roman" w:hAnsi="Calibri" w:cs="Arial"/>
                <w:color w:val="000000"/>
                <w:lang w:eastAsia="cs-CZ"/>
              </w:rPr>
              <w:t>Cytokiny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82F1739" w14:textId="4469A720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19AE6F5" w14:textId="38919764" w:rsidR="00F07E99" w:rsidRPr="00F07E99" w:rsidRDefault="00F07E99" w:rsidP="00F07E99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E9B2B94" w14:textId="3880999B" w:rsidR="00F07E99" w:rsidRPr="00F07E99" w:rsidRDefault="00F07E99" w:rsidP="00F07E99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C00000"/>
                <w:lang w:eastAsia="cs-CZ"/>
              </w:rPr>
            </w:pPr>
          </w:p>
        </w:tc>
      </w:tr>
    </w:tbl>
    <w:p w14:paraId="294F8DE2" w14:textId="77777777" w:rsidR="00F07E99" w:rsidRPr="00F07E99" w:rsidRDefault="00F07E99" w:rsidP="00F07E99">
      <w:pPr>
        <w:spacing w:after="0" w:line="240" w:lineRule="auto"/>
        <w:ind w:left="349" w:hanging="320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 xml:space="preserve">       Výše uvedené specifikace programů EHK a jejich množství jsou předpokládaná a byla stanovena na základě požadavků jednotlivých pracovišť za předcházejících 12 měsíců.  Zadavatel si vyhrazuje právo v případě potřeby určovat konkrétní plnění podle svých okamžitých potřeb, a to bez penalizace či jiného postihu ze strany dodavatele, přičemž dodavatel není oprávněn nabídkovou cenu z důvodu nedodržení nebo překročení předpokládaného množství poskytovaného spektra služeb jakkoli měnit.</w:t>
      </w:r>
    </w:p>
    <w:p w14:paraId="6C02D849" w14:textId="77777777" w:rsidR="00F07E99" w:rsidRPr="00F07E99" w:rsidRDefault="00F07E99" w:rsidP="00F07E99">
      <w:pPr>
        <w:spacing w:after="0" w:line="240" w:lineRule="auto"/>
        <w:ind w:left="349" w:hanging="320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 xml:space="preserve">      Pro možnost změny a úpravy spektra programů EHK, počtu cyklů, vzorků a vyhodnocení navíc zadavatel požaduje, aby součástí nabídky dodavatele byl ceník s kompletním přehledem programů EHK platným pro rok 2021 pro všechna pracoviště zadavatele uvedená v bodě 3.1.1.      </w:t>
      </w:r>
    </w:p>
    <w:p w14:paraId="443069C5" w14:textId="77777777" w:rsidR="00F07E99" w:rsidRPr="00F07E99" w:rsidRDefault="00F07E99" w:rsidP="00F07E99">
      <w:pPr>
        <w:spacing w:after="0" w:line="240" w:lineRule="auto"/>
        <w:ind w:left="426"/>
        <w:jc w:val="both"/>
        <w:rPr>
          <w:rFonts w:ascii="Calibri" w:eastAsia="Times New Roman" w:hAnsi="Calibri" w:cs="Arial"/>
          <w:bCs/>
          <w:iCs/>
        </w:rPr>
      </w:pPr>
    </w:p>
    <w:p w14:paraId="10569125" w14:textId="7C92D842" w:rsidR="00F07E99" w:rsidRPr="00F07E99" w:rsidRDefault="00F07E99" w:rsidP="00F07E99">
      <w:pPr>
        <w:keepNext/>
        <w:keepLines/>
        <w:spacing w:after="0" w:line="240" w:lineRule="auto"/>
        <w:ind w:left="720"/>
        <w:outlineLvl w:val="0"/>
        <w:rPr>
          <w:rFonts w:ascii="Calibri Light" w:eastAsia="Times New Roman" w:hAnsi="Calibri Light" w:cs="Times New Roman"/>
          <w:color w:val="262626"/>
        </w:rPr>
      </w:pPr>
      <w:r>
        <w:rPr>
          <w:rFonts w:ascii="Calibri" w:eastAsia="Times New Roman" w:hAnsi="Calibri" w:cs="Arial"/>
          <w:color w:val="0070C0"/>
        </w:rPr>
        <w:t>3.1.3</w:t>
      </w:r>
      <w:r w:rsidRPr="00F07E99">
        <w:rPr>
          <w:rFonts w:ascii="Calibri" w:eastAsia="Times New Roman" w:hAnsi="Calibri" w:cs="Arial"/>
          <w:color w:val="0070C0"/>
        </w:rPr>
        <w:t xml:space="preserve"> Požadavky zadavatele na poskytovatele EHK </w:t>
      </w:r>
    </w:p>
    <w:p w14:paraId="640B0577" w14:textId="77777777" w:rsidR="00F07E99" w:rsidRPr="00F07E99" w:rsidRDefault="00F07E99" w:rsidP="00F07E99">
      <w:pPr>
        <w:keepNext/>
        <w:keepLines/>
        <w:spacing w:after="0" w:line="240" w:lineRule="auto"/>
        <w:ind w:left="426"/>
        <w:outlineLvl w:val="0"/>
        <w:rPr>
          <w:rFonts w:ascii="Calibri Light" w:eastAsia="Times New Roman" w:hAnsi="Calibri Light" w:cs="Times New Roman"/>
          <w:color w:val="262626"/>
          <w:sz w:val="12"/>
        </w:rPr>
      </w:pPr>
    </w:p>
    <w:p w14:paraId="15DD9BF2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>Poskytovatel EHK musí mít zaveden systém řízení kvality, který je v souladu s požadavky normy ISO 17043 a musí být dle této normy akreditován.</w:t>
      </w:r>
    </w:p>
    <w:p w14:paraId="71B45419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 xml:space="preserve">Poskytovatel EHK musí zajistit portfolio služeb (vzorků, cyklů EHK) požadované jednotlivými pracovišti zadavatele viz bod 3.1.1. - pracoviště, pro které má být zajištěno EHK, viz bod 3.1.2. - Seznam poptávaných programů EHK. </w:t>
      </w:r>
    </w:p>
    <w:p w14:paraId="2E0B4456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>Poskytovatel EHK zpřístupní pracovištím zadavatele plán na rok 2021, který poskytne všechny relevantní</w:t>
      </w:r>
    </w:p>
    <w:p w14:paraId="01495776" w14:textId="77777777" w:rsidR="00F07E99" w:rsidRPr="00F07E99" w:rsidRDefault="00F07E99" w:rsidP="00F07E99">
      <w:pPr>
        <w:spacing w:after="0" w:line="240" w:lineRule="auto"/>
        <w:ind w:left="720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 xml:space="preserve">informace v souladu s normou norma ISO 17043.   </w:t>
      </w:r>
    </w:p>
    <w:p w14:paraId="75ACF087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 xml:space="preserve">Poskytovatel musí disponovat webovou aplikací s nastavitelnými přístupovými právy pro objednávání cyklů EHK, identifikaci laboratoře, kontaktních osob, zadávání výsledků </w:t>
      </w:r>
      <w:proofErr w:type="gramStart"/>
      <w:r w:rsidRPr="00F07E99">
        <w:rPr>
          <w:rFonts w:ascii="Calibri" w:eastAsia="Times New Roman" w:hAnsi="Calibri" w:cs="Arial"/>
        </w:rPr>
        <w:t>měření  atd</w:t>
      </w:r>
      <w:proofErr w:type="gramEnd"/>
      <w:r w:rsidRPr="00F07E99">
        <w:rPr>
          <w:rFonts w:ascii="Calibri" w:eastAsia="Times New Roman" w:hAnsi="Calibri" w:cs="Arial"/>
        </w:rPr>
        <w:t>.</w:t>
      </w:r>
    </w:p>
    <w:p w14:paraId="069460C3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>Doručování vzorků přímo na příslušné pracoviště nebo na zadavatelem přesně definované místo, tak aby nedošlo k poškození a porušení stability vzorků.</w:t>
      </w:r>
    </w:p>
    <w:p w14:paraId="0550BF48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>Rychlé jednání v případě reklamace – poskytnutí náhradních vzorků nebo poskytnutí jiného cyklu stejného programu v případě, že pracoviště zadavatele obdrží poškozenou zásilku se vzorky.</w:t>
      </w:r>
    </w:p>
    <w:p w14:paraId="05C6E79B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>Poskytovatel EHK musí nabízet možnost pro případné doobjednání služeb EHK dle potřeby během roku.</w:t>
      </w:r>
    </w:p>
    <w:p w14:paraId="3AAFCC7F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lastRenderedPageBreak/>
        <w:t>Poskytovatel EHK musí nabízet možnost pro případnou změnu objednávky během roku.</w:t>
      </w:r>
    </w:p>
    <w:p w14:paraId="0544FDE8" w14:textId="77777777" w:rsidR="00F07E99" w:rsidRPr="00F07E99" w:rsidRDefault="00F07E99" w:rsidP="00F07E9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</w:rPr>
      </w:pPr>
      <w:r w:rsidRPr="00F07E99">
        <w:rPr>
          <w:rFonts w:ascii="Calibri" w:eastAsia="Times New Roman" w:hAnsi="Calibri" w:cs="Arial"/>
        </w:rPr>
        <w:t>Poskytovatel EHK musí zajistit roční přehled certifikátů a zkoušek pro jednotlivá pracoviště zadavatele, doručení zprávy s komplexní statistikou, výsledky měření a nejistotami, certifikáty s příslušnou dobou platnosti, osvědčení o účasti v českém a anglickém jazyce tištěné podobě.</w:t>
      </w:r>
    </w:p>
    <w:p w14:paraId="7670647F" w14:textId="77777777" w:rsidR="00AF4D19" w:rsidRDefault="00AF4D19"/>
    <w:sectPr w:rsidR="00AF4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60knyzlrxprfek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85A"/>
    <w:multiLevelType w:val="multilevel"/>
    <w:tmpl w:val="6AE0A58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asciiTheme="minorHAnsi" w:hAnsiTheme="minorHAns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color w:val="2F5496" w:themeColor="accent1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95C3CF5"/>
    <w:multiLevelType w:val="hybridMultilevel"/>
    <w:tmpl w:val="AC360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C0544"/>
    <w:multiLevelType w:val="hybridMultilevel"/>
    <w:tmpl w:val="72DCF7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9348EE"/>
    <w:multiLevelType w:val="multilevel"/>
    <w:tmpl w:val="1AB61158"/>
    <w:lvl w:ilvl="0">
      <w:start w:val="3"/>
      <w:numFmt w:val="decimal"/>
      <w:lvlText w:val="%1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66552A27"/>
    <w:multiLevelType w:val="multilevel"/>
    <w:tmpl w:val="8D02E816"/>
    <w:lvl w:ilvl="0">
      <w:start w:val="3"/>
      <w:numFmt w:val="decimal"/>
      <w:lvlText w:val="%1"/>
      <w:lvlJc w:val="left"/>
      <w:pPr>
        <w:ind w:left="435" w:hanging="435"/>
      </w:pPr>
      <w:rPr>
        <w:rFonts w:ascii="Calibri" w:hAnsi="Calibri" w:cs="Arial" w:hint="default"/>
        <w:color w:val="0070C0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ascii="Calibri" w:hAnsi="Calibri" w:cs="Arial" w:hint="default"/>
        <w:color w:val="0070C0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ascii="Calibri" w:hAnsi="Calibri" w:cs="Arial" w:hint="default"/>
        <w:color w:val="0070C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hAnsi="Calibri" w:cs="Arial" w:hint="default"/>
        <w:color w:val="0070C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hAnsi="Calibri" w:cs="Arial" w:hint="default"/>
        <w:color w:val="0070C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hAnsi="Calibri" w:cs="Arial" w:hint="default"/>
        <w:color w:val="0070C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hAnsi="Calibri" w:cs="Arial" w:hint="default"/>
        <w:color w:val="0070C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hAnsi="Calibri" w:cs="Arial" w:hint="default"/>
        <w:color w:val="0070C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Calibri" w:hAnsi="Calibri" w:cs="Arial" w:hint="default"/>
        <w:color w:val="0070C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99"/>
    <w:rsid w:val="0064435B"/>
    <w:rsid w:val="007A44DC"/>
    <w:rsid w:val="00A80B8E"/>
    <w:rsid w:val="00AF4D19"/>
    <w:rsid w:val="00C434CF"/>
    <w:rsid w:val="00CB5D68"/>
    <w:rsid w:val="00DA1D76"/>
    <w:rsid w:val="00F0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5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6310D-6A2C-4124-94A3-7829D13C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825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Vraspírová Pavlína (SYN-KVA)</dc:creator>
  <cp:lastModifiedBy>pc</cp:lastModifiedBy>
  <cp:revision>3</cp:revision>
  <dcterms:created xsi:type="dcterms:W3CDTF">2021-09-13T08:08:00Z</dcterms:created>
  <dcterms:modified xsi:type="dcterms:W3CDTF">2021-09-13T08:30:00Z</dcterms:modified>
</cp:coreProperties>
</file>